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ECC" w:rsidRDefault="00230ECC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5636BC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238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9" r="-17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CC" w:rsidRDefault="00230ECC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230ECC" w:rsidRDefault="005636BC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876300</wp:posOffset>
            </wp:positionH>
            <wp:positionV relativeFrom="page">
              <wp:posOffset>2326005</wp:posOffset>
            </wp:positionV>
            <wp:extent cx="2923540" cy="359410"/>
            <wp:effectExtent l="0" t="0" r="0" b="254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CC">
        <w:rPr>
          <w:rFonts w:ascii="Times New Roman" w:hAnsi="Times New Roman" w:cs="Times New Roman"/>
          <w:b/>
          <w:sz w:val="32"/>
          <w:szCs w:val="32"/>
        </w:rPr>
        <w:t>______________</w:t>
      </w:r>
      <w:r w:rsidR="00230ECC">
        <w:rPr>
          <w:rFonts w:ascii="Times New Roman" w:hAnsi="Times New Roman" w:cs="Times New Roman"/>
          <w:b/>
          <w:sz w:val="32"/>
          <w:szCs w:val="32"/>
          <w:u w:val="single"/>
        </w:rPr>
        <w:t>П О С Т А Н О В Л Е Н И Е</w:t>
      </w:r>
      <w:r w:rsidR="00230ECC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230ECC" w:rsidRDefault="005636BC">
      <w:pPr>
        <w:spacing w:after="0" w:line="240" w:lineRule="auto"/>
        <w:ind w:right="-74"/>
        <w:rPr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98" r="-21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CC" w:rsidRDefault="00230ECC">
      <w:pPr>
        <w:pStyle w:val="afb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en-US" w:eastAsia="ar-SA"/>
        </w:rPr>
        <w:t>c</w:t>
      </w:r>
      <w:r>
        <w:rPr>
          <w:sz w:val="28"/>
          <w:szCs w:val="28"/>
          <w:lang w:eastAsia="ar-SA"/>
        </w:rPr>
        <w:t>. Черкассы</w:t>
      </w:r>
      <w:r>
        <w:t xml:space="preserve">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1"/>
      </w:tblGrid>
      <w:tr w:rsidR="00230ECC">
        <w:trPr>
          <w:trHeight w:val="1000"/>
        </w:trPr>
        <w:tc>
          <w:tcPr>
            <w:tcW w:w="9211" w:type="dxa"/>
            <w:shd w:val="clear" w:color="auto" w:fill="auto"/>
          </w:tcPr>
          <w:p w:rsidR="00230ECC" w:rsidRDefault="0023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230ECC" w:rsidRDefault="0023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230ECC" w:rsidRDefault="00230E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230ECC" w:rsidRDefault="00230ECC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  <w:r>
        <w:rPr>
          <w:rFonts w:ascii="Verdana" w:eastAsia="Verdana" w:hAnsi="Verdana" w:cs="Verdana"/>
          <w:sz w:val="21"/>
          <w:szCs w:val="21"/>
          <w:lang w:eastAsia="ru-RU"/>
        </w:rPr>
        <w:t xml:space="preserve">        </w:t>
      </w:r>
    </w:p>
    <w:p w:rsidR="00230ECC" w:rsidRDefault="00230E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№ 5-пр от 24.10.2023 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Черкасский сельсовет Саракташского района Оренбургской области</w:t>
      </w:r>
    </w:p>
    <w:p w:rsidR="00230ECC" w:rsidRDefault="00230E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:rsidR="00230ECC" w:rsidRDefault="00230ECC">
      <w:pPr>
        <w:widowControl w:val="0"/>
        <w:autoSpaceDE w:val="0"/>
        <w:spacing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Черкасского сельсовета Саракташского района Оренбургской области от 30.05.2023 года № 80-п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230ECC" w:rsidRDefault="00230E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 постановление вступает в силу после его официального опубликования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сельского поселения Черкасский сельсовет Саракташского района Оренбургской области -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Информационном бюллетене «Черкасский сельсовет»</w:t>
      </w:r>
      <w:r>
        <w:rPr>
          <w:rFonts w:ascii="Times New Roman" w:hAnsi="Times New Roman" w:cs="Times New Roman"/>
          <w:sz w:val="28"/>
          <w:szCs w:val="28"/>
        </w:rPr>
        <w:t>, а также подлежит размещению на официальном сайте администрации Черкасского сельсовета.</w:t>
      </w:r>
    </w:p>
    <w:p w:rsidR="00230ECC" w:rsidRDefault="00563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2429510</wp:posOffset>
            </wp:positionH>
            <wp:positionV relativeFrom="page">
              <wp:posOffset>1517650</wp:posOffset>
            </wp:positionV>
            <wp:extent cx="2876550" cy="1079500"/>
            <wp:effectExtent l="0" t="0" r="0" b="63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ECC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30ECC" w:rsidRDefault="00230E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240" w:line="240" w:lineRule="auto"/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Т.В. Кучугурова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</w:t>
      </w:r>
    </w:p>
    <w:p w:rsidR="00230ECC" w:rsidRDefault="00230ECC">
      <w:pPr>
        <w:widowControl w:val="0"/>
        <w:spacing w:after="120" w:line="240" w:lineRule="auto"/>
        <w:ind w:firstLine="708"/>
        <w:rPr>
          <w:rFonts w:ascii="Times New Roman" w:hAnsi="Times New Roman" w:cs="Times New Roman"/>
          <w:w w:val="106"/>
          <w:sz w:val="28"/>
          <w:szCs w:val="28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                        </w:t>
      </w:r>
    </w:p>
    <w:p w:rsidR="00230ECC" w:rsidRDefault="00230ECC">
      <w:pPr>
        <w:spacing w:line="240" w:lineRule="auto"/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  <w:r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6"/>
          <w:sz w:val="28"/>
          <w:szCs w:val="28"/>
        </w:rPr>
        <w:t>места для обнародования, сайт сельсовета, в дело.</w:t>
      </w: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230ECC" w:rsidRDefault="00230ECC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230ECC" w:rsidRDefault="00230ECC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230ECC" w:rsidRDefault="00230ECC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 администрации Черкасского сельсовета</w:t>
      </w:r>
    </w:p>
    <w:p w:rsidR="00230ECC" w:rsidRDefault="00230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Саракташского района   </w:t>
      </w:r>
    </w:p>
    <w:p w:rsidR="00230ECC" w:rsidRDefault="00230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230ECC" w:rsidRDefault="00230EC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23.09.2024   № 136-п</w:t>
      </w:r>
    </w:p>
    <w:p w:rsidR="00230ECC" w:rsidRDefault="00230EC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230ECC" w:rsidRDefault="00230ECC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230ECC" w:rsidRDefault="00230EC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разрешения на отклонение от предельных параметров разрешенного строительства, реконструкции объекта капитального строительства муниципальным образованием Черкасский сельсовет Саракташского района Оренбургской области.</w:t>
      </w:r>
    </w:p>
    <w:p w:rsidR="00230ECC" w:rsidRDefault="00230ECC">
      <w:pPr>
        <w:pStyle w:val="ConsPlusNonformat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" w:name="sub_40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widowControl w:val="0"/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230ECC" w:rsidRDefault="00230E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Муниципальная услуга предоставляется администрацией муниципального образования Черкасский сельсовет Саракташского района Оренбургской области (далее – уполномоченный орган).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ECC" w:rsidRDefault="00230E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в праве принимать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 ,если такой способ указан в заявлении;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230ECC" w:rsidRDefault="00230ECC">
      <w:pPr>
        <w:pStyle w:val="ConsPlusNormal0"/>
        <w:spacing w:before="280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55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230ECC" w:rsidRDefault="00230E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 http://admcherkassy.ru/, а также на ЕПГУ.</w:t>
      </w:r>
    </w:p>
    <w:p w:rsidR="00230ECC" w:rsidRDefault="00230ECC">
      <w:pPr>
        <w:pStyle w:val="ConsPlusNormal0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недвижимостив случае, если права на них не зарегистрированы в Едином государственном реестре недвижимости;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ЕПГУ.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ФГИС ЕСИА) заполняет форму указанного заявления с использованием интерактивной формы в электронном виде. 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230ECC" w:rsidRDefault="00230ECC">
      <w:pPr>
        <w:pStyle w:val="ConsPlusNormal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представление неполного комплекта документов, указанных в пункте 2.8 настоящего Административного регламента;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Исчерпывающий перечень оснований для отказа в предоставлении муниципальной услуги: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9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926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927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928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  <w:bookmarkStart w:id="10" w:name="sub_229210"/>
      <w:bookmarkEnd w:id="9"/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30ECC" w:rsidRDefault="00230ECC">
      <w:pPr>
        <w:pStyle w:val="ConsPlusNormal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230ECC" w:rsidRDefault="00230ECC">
      <w:pPr>
        <w:pStyle w:val="ConsPlusNonformat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Расходы, связанные с организацией и проведением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230ECC" w:rsidRDefault="00230ECC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 следующей информации: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сурдопереводчика и тифлосурдопереводчика;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230ECC" w:rsidRDefault="00230ECC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30ECC" w:rsidRDefault="00230ECC">
      <w:pPr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230ECC" w:rsidRDefault="00230ECC">
      <w:pPr>
        <w:pStyle w:val="ConsPlusNormal0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30ECC" w:rsidRDefault="00230EC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>
        <w:rPr>
          <w:rFonts w:ascii="Times New Roman" w:hAnsi="Times New Roman" w:cs="Times New Roman"/>
          <w:sz w:val="28"/>
          <w:szCs w:val="28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>
        <w:rPr>
          <w:rFonts w:ascii="Times New Roman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30ECC" w:rsidRDefault="00230ECC">
      <w:pPr>
        <w:pStyle w:val="ConsPlusNormal0"/>
        <w:contextualSpacing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230ECC" w:rsidRDefault="0023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подпунктами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«б» – «д» пункта 2.8, пунктом 2.9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предусматривающее заполнение заявителем реквизитов, необходимых для работы с заявлениеми для подготовки ответа.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Срок регистрации заявления и документов, предусмотренных подпунктами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230ECC" w:rsidRDefault="00230E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33"/>
      <w:bookmarkEnd w:id="11"/>
      <w:r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Запрос о предоставлении документов (их копий или сведений, содержащихся в них) </w:t>
      </w:r>
      <w:r>
        <w:rPr>
          <w:rFonts w:ascii="Times New Roman" w:hAnsi="Times New Roman" w:cs="Times New Roman"/>
          <w:sz w:val="28"/>
          <w:szCs w:val="28"/>
        </w:rPr>
        <w:t>направляется в  уполномоченный орган.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Запрос о предоставлении документов (их копий или сведений, содержащихся в них) </w:t>
      </w:r>
      <w:r>
        <w:rPr>
          <w:rFonts w:ascii="Times New Roman" w:hAnsi="Times New Roman" w:cs="Times New Roman"/>
          <w:sz w:val="28"/>
          <w:szCs w:val="28"/>
        </w:rPr>
        <w:t>направляется в уполномоченный орган.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реквизиты и наименования документов, необходимых для предоставления муниципальной услуги.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пунктом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2.9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предоставлении) муниципальной 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подпунктами «б» – «д» пункта 2.8, пунктом 2.9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По результатам проверки </w:t>
      </w:r>
      <w:r>
        <w:rPr>
          <w:rFonts w:ascii="Times New Roman" w:hAnsi="Times New Roman" w:cs="Times New Roman"/>
          <w:bCs/>
          <w:sz w:val="28"/>
          <w:szCs w:val="28"/>
        </w:rPr>
        <w:t>документов, предусмотренных пунктами 2.8 и 2.9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предусмотренных пунктом 2.16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их главе уполномоченного органа.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 с указанием причин принятого решения.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форме, приведенной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Приложении № 2 к настоящему Административному регламенту,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3.33. 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 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настоящего Административного регламента. 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230ECC" w:rsidRDefault="00230E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сроков предоставления муниципальной услуги;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положений настоящего Административного регламента;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Черкасский сельсовет Саракташского района Оренбургской области.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30ECC" w:rsidRDefault="00230ECC">
      <w:pPr>
        <w:pStyle w:val="ConsPlusNormal0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Черкасский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>
          <w:rPr>
            <w:rStyle w:val="a9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12" w:history="1">
        <w:r>
          <w:rPr>
            <w:rStyle w:val="a9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1043"/>
        <w:gridCol w:w="4084"/>
        <w:gridCol w:w="4726"/>
        <w:gridCol w:w="70"/>
      </w:tblGrid>
      <w:tr w:rsidR="00230ECC">
        <w:trPr>
          <w:gridAfter w:val="1"/>
          <w:wAfter w:w="70" w:type="dxa"/>
          <w:trHeight w:val="165"/>
        </w:trPr>
        <w:tc>
          <w:tcPr>
            <w:tcW w:w="996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230ECC">
        <w:trPr>
          <w:gridAfter w:val="1"/>
          <w:wAfter w:w="70" w:type="dxa"/>
          <w:trHeight w:val="126"/>
        </w:trPr>
        <w:tc>
          <w:tcPr>
            <w:tcW w:w="9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gridAfter w:val="1"/>
          <w:wAfter w:w="70" w:type="dxa"/>
          <w:trHeight w:val="231"/>
        </w:trPr>
        <w:tc>
          <w:tcPr>
            <w:tcW w:w="996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230ECC">
        <w:trPr>
          <w:gridAfter w:val="1"/>
          <w:wAfter w:w="70" w:type="dxa"/>
          <w:trHeight w:val="66"/>
        </w:trPr>
        <w:tc>
          <w:tcPr>
            <w:tcW w:w="9961" w:type="dxa"/>
            <w:gridSpan w:val="4"/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  <w:lang w:bidi="ru-RU"/>
              </w:rPr>
            </w:pPr>
          </w:p>
          <w:p w:rsidR="00230ECC" w:rsidRDefault="00230ECC">
            <w:pPr>
              <w:widowControl w:val="0"/>
              <w:spacing w:after="0" w:line="240" w:lineRule="auto"/>
              <w:ind w:firstLine="45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230ECC">
        <w:trPr>
          <w:gridBefore w:val="1"/>
          <w:wBefore w:w="108" w:type="dxa"/>
          <w:trHeight w:val="5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  <w:r>
              <w:rPr>
                <w:rStyle w:val="af5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230ECC">
        <w:trPr>
          <w:gridBefore w:val="1"/>
          <w:wBefore w:w="108" w:type="dxa"/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Before w:val="1"/>
          <w:wBefore w:w="108" w:type="dxa"/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Before w:val="1"/>
          <w:wBefore w:w="108" w:type="dxa"/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Before w:val="1"/>
          <w:wBefore w:w="108" w:type="dxa"/>
          <w:trHeight w:val="39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Before w:val="1"/>
          <w:wBefore w:w="108" w:type="dxa"/>
          <w:trHeight w:val="55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Before w:val="1"/>
          <w:wBefore w:w="108" w:type="dxa"/>
          <w:trHeight w:val="83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30ECC" w:rsidRDefault="00230ECC">
      <w:pPr>
        <w:sectPr w:rsidR="00230ECC">
          <w:pgSz w:w="11906" w:h="16838"/>
          <w:pgMar w:top="1134" w:right="709" w:bottom="709" w:left="1418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230ECC">
        <w:trPr>
          <w:trHeight w:val="372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 и объекте капитального строительства</w:t>
            </w:r>
          </w:p>
        </w:tc>
      </w:tr>
      <w:tr w:rsidR="00230ECC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pStyle w:val="1"/>
              <w:shd w:val="clear" w:color="auto" w:fill="FAFCFF"/>
              <w:textAlignment w:val="baseline"/>
            </w:pPr>
            <w:r>
              <w:rPr>
                <w:rFonts w:eastAsia="Tahoma"/>
                <w:sz w:val="28"/>
                <w:szCs w:val="28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230ECC" w:rsidRDefault="00230ECC">
            <w:pP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pStyle w:val="1"/>
              <w:shd w:val="clear" w:color="auto" w:fill="FAFCFF"/>
              <w:textAlignment w:val="baseline"/>
            </w:pPr>
            <w:r>
              <w:rPr>
                <w:rFonts w:eastAsia="Tahoma"/>
                <w:sz w:val="28"/>
                <w:szCs w:val="28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eastAsia="en-US" w:bidi="ru-RU"/>
              </w:rPr>
            </w:pPr>
          </w:p>
        </w:tc>
      </w:tr>
      <w:tr w:rsidR="00230ECC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pStyle w:val="1"/>
              <w:shd w:val="clear" w:color="auto" w:fill="FAFCFF"/>
              <w:textAlignment w:val="baseline"/>
            </w:pPr>
            <w:r>
              <w:rPr>
                <w:rFonts w:eastAsia="Tahoma"/>
                <w:sz w:val="28"/>
                <w:szCs w:val="28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eastAsia="en-US" w:bidi="ru-RU"/>
              </w:rPr>
            </w:pPr>
          </w:p>
        </w:tc>
      </w:tr>
      <w:tr w:rsidR="00230ECC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pStyle w:val="1"/>
              <w:shd w:val="clear" w:color="auto" w:fill="FAFCFF"/>
              <w:textAlignment w:val="baseline"/>
            </w:pPr>
            <w:r>
              <w:rPr>
                <w:rFonts w:eastAsia="Tahoma"/>
                <w:sz w:val="28"/>
                <w:szCs w:val="28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eastAsia="en-US" w:bidi="ru-RU"/>
              </w:rPr>
            </w:pPr>
          </w:p>
        </w:tc>
      </w:tr>
      <w:tr w:rsidR="00230EC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Отступы от границ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1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30ECC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_____________________________________________________</w:t>
      </w:r>
    </w:p>
    <w:p w:rsidR="00230ECC" w:rsidRDefault="00230EC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</w:t>
      </w: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t>Результат предоставления услуги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89"/>
        <w:gridCol w:w="506"/>
      </w:tblGrid>
      <w:tr w:rsidR="00230EC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1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30ECC" w:rsidRDefault="00230ECC">
            <w:pPr>
              <w:widowControl w:val="0"/>
              <w:autoSpaceDE w:val="0"/>
              <w:spacing w:after="12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_____________________________________________________________________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230ECC" w:rsidRDefault="00230ECC">
      <w:pPr>
        <w:spacing w:after="0" w:line="240" w:lineRule="auto"/>
        <w:rPr>
          <w:rFonts w:ascii="Times New Roman" w:hAnsi="Times New Roman" w:cs="Times New Roman"/>
          <w:vanish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ECC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30ECC" w:rsidRDefault="00230ECC">
      <w:pPr>
        <w:autoSpaceDE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230ECC" w:rsidRDefault="00230ECC">
      <w:pPr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230ECC" w:rsidRDefault="0023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органаместного самоуправления, </w:t>
      </w:r>
    </w:p>
    <w:p w:rsidR="00230ECC" w:rsidRDefault="00230ECC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осуществляющего предоставление </w:t>
      </w:r>
    </w:p>
    <w:p w:rsidR="00230ECC" w:rsidRDefault="00230ECC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230ECC" w:rsidRDefault="00230ECC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12" w:name="OLE_LINK460"/>
      <w:bookmarkStart w:id="13" w:name="OLE_LINK459"/>
      <w:r>
        <w:rPr>
          <w:rFonts w:ascii="Times New Roman" w:hAnsi="Times New Roman" w:cs="Times New Roman"/>
          <w:sz w:val="28"/>
          <w:szCs w:val="28"/>
          <w:lang w:bidi="ru-RU"/>
        </w:rPr>
        <w:t>от_______________№ ______________</w:t>
      </w:r>
    </w:p>
    <w:p w:rsidR="00230ECC" w:rsidRDefault="00230EC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12"/>
      <w:bookmarkEnd w:id="13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230ECC" w:rsidRDefault="00230EC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230ECC" w:rsidRDefault="00230E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Черкасский сельсовет Саракташского района Оренбургской области,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утвержденными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Черкасский сельсовет Саракташского района Оренбургской области от 29.12.2023 №195-п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заключения о результатах общественных обсуждений/публичных слушаний от ________________ № ______________,  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объекта капитального строительства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кадастровый номер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расположенного по адресу:_________________________________________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____________________________________________________________,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предельного параметра и показатель предоставляемого отклонения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</w:p>
    <w:p w:rsidR="00230ECC" w:rsidRDefault="00230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Опубликовать настоящее постановление в информационном бюллетене «Черкасский сельсовет».</w:t>
      </w:r>
    </w:p>
    <w:p w:rsidR="00230ECC" w:rsidRDefault="00230ECC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 Контроль за исполнением настоящего постановления возложить на специалиста 1 категории </w:t>
      </w:r>
    </w:p>
    <w:p w:rsidR="00230ECC" w:rsidRDefault="00230ECC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p w:rsidR="00230ECC" w:rsidRDefault="00230ECC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30ECC" w:rsidRDefault="00230ECC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ECC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И.О.Фамилия</w:t>
            </w:r>
          </w:p>
        </w:tc>
      </w:tr>
    </w:tbl>
    <w:p w:rsidR="00230ECC" w:rsidRDefault="00230EC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autoSpaceDE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bidi="ru-RU"/>
        </w:rPr>
      </w:pPr>
    </w:p>
    <w:p w:rsidR="00230ECC" w:rsidRDefault="00230ECC">
      <w:pPr>
        <w:autoSpaceDE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0" w:line="240" w:lineRule="auto"/>
        <w:ind w:left="5387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af5"/>
          <w:rFonts w:ascii="Times New Roman" w:eastAsia="Tahoma" w:hAnsi="Times New Roman" w:cs="Times New Roman"/>
          <w:sz w:val="28"/>
          <w:szCs w:val="28"/>
          <w:lang w:bidi="ru-RU"/>
        </w:rPr>
        <w:footnoteReference w:id="2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230ECC" w:rsidRDefault="00230EC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230ECC" w:rsidRDefault="00230EC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230ECC" w:rsidRDefault="00230EC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4678"/>
        <w:gridCol w:w="4044"/>
      </w:tblGrid>
      <w:tr w:rsidR="00230ECC">
        <w:trPr>
          <w:trHeight w:val="137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230ECC">
        <w:trPr>
          <w:trHeight w:val="10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30ECC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230ECC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230ECC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230ECC">
        <w:trPr>
          <w:trHeight w:val="14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30ECC">
        <w:trPr>
          <w:trHeight w:val="159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несоблюдение установленных статьей 11 Федерального закона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от 6 апреля 2011 года № 63-ФЗ «Об электронной подписи»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230ECC" w:rsidRDefault="00230EC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ECC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230ECC" w:rsidRDefault="0023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230ECC" w:rsidRDefault="00230ECC">
      <w:pPr>
        <w:pageBreakBefore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0" w:line="240" w:lineRule="auto"/>
        <w:ind w:left="5387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af5"/>
          <w:rFonts w:ascii="Times New Roman" w:eastAsia="Tahoma" w:hAnsi="Times New Roman" w:cs="Times New Roman"/>
          <w:sz w:val="28"/>
          <w:szCs w:val="28"/>
          <w:lang w:bidi="ru-RU"/>
        </w:rPr>
        <w:footnoteReference w:id="3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230ECC" w:rsidRDefault="00230EC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принято решение оботказе в предоставлении 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5462"/>
        <w:gridCol w:w="3118"/>
      </w:tblGrid>
      <w:tr w:rsidR="00230EC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CC" w:rsidRDefault="00230ECC">
            <w:pPr>
              <w:widowControl w:val="0"/>
              <w:spacing w:after="0" w:line="240" w:lineRule="auto"/>
              <w:ind w:left="-65" w:right="-57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о предоставлении разрешения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причины принятого решения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76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230ECC" w:rsidRDefault="00230EC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230ECC" w:rsidRDefault="00230EC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230ECC" w:rsidRDefault="00230EC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ECC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30ECC" w:rsidRDefault="00230ECC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1"/>
      </w:tblGrid>
      <w:tr w:rsidR="00230EC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230EC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строительстваот ________________ № _____________ без рассмотрения.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230ECC">
        <w:trPr>
          <w:trHeight w:val="286"/>
        </w:trPr>
        <w:tc>
          <w:tcPr>
            <w:tcW w:w="9781" w:type="dxa"/>
            <w:gridSpan w:val="3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left="720"/>
              <w:contextualSpacing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f5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4"/>
            </w:r>
          </w:p>
        </w:tc>
      </w:tr>
      <w:tr w:rsidR="00230ECC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3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96"/>
        <w:gridCol w:w="222"/>
        <w:gridCol w:w="17"/>
      </w:tblGrid>
      <w:tr w:rsidR="00230ECC"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12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After w:val="1"/>
          <w:wAfter w:w="17" w:type="dxa"/>
        </w:trPr>
        <w:tc>
          <w:tcPr>
            <w:tcW w:w="10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230ECC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0" w:line="240" w:lineRule="auto"/>
        <w:ind w:left="5387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af5"/>
          <w:rFonts w:ascii="Times New Roman" w:eastAsia="Tahoma" w:hAnsi="Times New Roman" w:cs="Times New Roman"/>
          <w:sz w:val="28"/>
          <w:szCs w:val="28"/>
          <w:lang w:bidi="ru-RU"/>
        </w:rPr>
        <w:footnoteReference w:id="5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230ECC" w:rsidRDefault="00230EC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18"/>
          <w:szCs w:val="18"/>
          <w:lang w:bidi="ru-RU"/>
        </w:rPr>
        <w:t>почтовый индекс и адрес, телефон, адрес электронной почты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trike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strike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18"/>
          <w:szCs w:val="18"/>
          <w:lang w:bidi="ru-RU"/>
        </w:rPr>
        <w:t>дату и номер регистрации заявления</w:t>
      </w:r>
    </w:p>
    <w:p w:rsidR="00230ECC" w:rsidRDefault="00230E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 без рассмотрения ____________________________________________________________________________________________________________________________________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18"/>
          <w:szCs w:val="18"/>
          <w:lang w:bidi="ru-RU"/>
        </w:rPr>
        <w:t>наименование уполномоченного органа местного самоуправления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18"/>
          <w:szCs w:val="18"/>
          <w:lang w:bidi="ru-RU"/>
        </w:rPr>
        <w:t>дату и номер регистрации заявления</w:t>
      </w:r>
    </w:p>
    <w:p w:rsidR="00230ECC" w:rsidRDefault="00230ECC">
      <w:pPr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ECC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30ECC" w:rsidRDefault="00230EC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/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Дата выдачи ______________________ </w:t>
      </w:r>
    </w:p>
    <w:sectPr w:rsidR="00230ECC">
      <w:headerReference w:type="default" r:id="rId13"/>
      <w:headerReference w:type="first" r:id="rId14"/>
      <w:pgSz w:w="11906" w:h="16838"/>
      <w:pgMar w:top="1134" w:right="849" w:bottom="1135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E3" w:rsidRDefault="008579E3">
      <w:pPr>
        <w:spacing w:after="0" w:line="240" w:lineRule="auto"/>
      </w:pPr>
      <w:r>
        <w:separator/>
      </w:r>
    </w:p>
  </w:endnote>
  <w:endnote w:type="continuationSeparator" w:id="0">
    <w:p w:rsidR="008579E3" w:rsidRDefault="0085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E3" w:rsidRDefault="008579E3">
      <w:pPr>
        <w:spacing w:after="0" w:line="240" w:lineRule="auto"/>
      </w:pPr>
      <w:r>
        <w:separator/>
      </w:r>
    </w:p>
  </w:footnote>
  <w:footnote w:type="continuationSeparator" w:id="0">
    <w:p w:rsidR="008579E3" w:rsidRDefault="008579E3">
      <w:pPr>
        <w:spacing w:after="0" w:line="240" w:lineRule="auto"/>
      </w:pPr>
      <w:r>
        <w:continuationSeparator/>
      </w:r>
    </w:p>
  </w:footnote>
  <w:footnote w:id="1">
    <w:p w:rsidR="00230ECC" w:rsidRDefault="00230ECC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230ECC" w:rsidRDefault="00230ECC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230ECC" w:rsidRDefault="00230ECC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230ECC" w:rsidRDefault="00230ECC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230ECC" w:rsidRDefault="00230ECC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CC" w:rsidRDefault="00230ECC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 w:rsidR="00847241">
      <w:rPr>
        <w:noProof/>
      </w:rPr>
      <w:t>43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CC" w:rsidRDefault="00230ECC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41"/>
    <w:rsid w:val="00230ECC"/>
    <w:rsid w:val="005636BC"/>
    <w:rsid w:val="00847241"/>
    <w:rsid w:val="008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BB277A-399A-4AB2-90D9-5E9D7A0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0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i w:val="0"/>
      <w:iCs w:val="0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lang w:val="ru-RU" w:bidi="ar-SA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36z0">
    <w:name w:val="WW8Num36z0"/>
    <w:rPr>
      <w:rFonts w:ascii="Wingdings" w:hAnsi="Wingdings" w:cs="Wingdings" w:hint="default"/>
      <w:sz w:val="20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 w:val="x-none"/>
    </w:rPr>
  </w:style>
  <w:style w:type="character" w:customStyle="1" w:styleId="21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val="x-none" w:eastAsia="zh-CN"/>
    </w:rPr>
  </w:style>
  <w:style w:type="character" w:customStyle="1" w:styleId="a7">
    <w:name w:val="Нижний колонтитул Знак"/>
    <w:basedOn w:val="10"/>
    <w:rPr>
      <w:lang w:val="x-none"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 w:val="x-none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 w:val="x-none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2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 w:val="x-none"/>
    </w:rPr>
  </w:style>
  <w:style w:type="character" w:customStyle="1" w:styleId="docdata">
    <w:name w:val="docdata"/>
    <w:basedOn w:val="10"/>
  </w:style>
  <w:style w:type="character" w:customStyle="1" w:styleId="23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character" w:customStyle="1" w:styleId="HTML">
    <w:name w:val="Стандартный HTML Знак"/>
    <w:basedOn w:val="20"/>
    <w:rPr>
      <w:rFonts w:ascii="Courier New" w:hAnsi="Courier New" w:cs="Courier New"/>
      <w:lang w:val="x-none"/>
    </w:rPr>
  </w:style>
  <w:style w:type="character" w:customStyle="1" w:styleId="18">
    <w:name w:val="Знак сноски1"/>
    <w:rPr>
      <w:vertAlign w:val="superscript"/>
    </w:rPr>
  </w:style>
  <w:style w:type="character" w:customStyle="1" w:styleId="Heading1Char">
    <w:name w:val="Heading 1 Char"/>
    <w:basedOn w:val="20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styleId="af5">
    <w:name w:val="footnote reference"/>
    <w:rPr>
      <w:vertAlign w:val="superscript"/>
    </w:rPr>
  </w:style>
  <w:style w:type="character" w:styleId="af6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a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"/>
    <w:basedOn w:val="a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f8">
    <w:name w:val="List"/>
    <w:basedOn w:val="af7"/>
    <w:rPr>
      <w:rFonts w:cs="Nirmala UI"/>
    </w:rPr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rPr>
      <w:rFonts w:cs="Times New Roman"/>
    </w:rPr>
  </w:style>
  <w:style w:type="paragraph" w:styleId="afb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c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f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a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0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 w:val="x-none"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 w:val="x-none"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 w:val="x-none"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2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b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endnote text"/>
    <w:basedOn w:val="a"/>
    <w:pPr>
      <w:spacing w:after="0" w:line="240" w:lineRule="auto"/>
    </w:pPr>
    <w:rPr>
      <w:rFonts w:eastAsia="Times New Roman"/>
      <w:sz w:val="20"/>
      <w:szCs w:val="20"/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aff8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Таблицы (моноширинный)"/>
    <w:basedOn w:val="a"/>
    <w:next w:val="a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12122</Words>
  <Characters>69096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81056</CharactersWithSpaces>
  <SharedDoc>false</SharedDoc>
  <HLinks>
    <vt:vector size="12" baseType="variant"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2023-05-30T09:25:00Z</cp:lastPrinted>
  <dcterms:created xsi:type="dcterms:W3CDTF">2024-09-23T08:56:00Z</dcterms:created>
  <dcterms:modified xsi:type="dcterms:W3CDTF">2024-09-23T08:56:00Z</dcterms:modified>
</cp:coreProperties>
</file>